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BB0" w:rsidRPr="00F342CF" w:rsidRDefault="00CD5BB0" w:rsidP="00CD5B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CD5BB0" w:rsidRPr="00F342CF" w:rsidTr="000C6DD3">
        <w:trPr>
          <w:trHeight w:val="1309"/>
        </w:trPr>
        <w:tc>
          <w:tcPr>
            <w:tcW w:w="9787" w:type="dxa"/>
          </w:tcPr>
          <w:p w:rsidR="00CD5BB0" w:rsidRPr="00F342CF" w:rsidRDefault="00CD5BB0" w:rsidP="000C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B0" w:rsidRPr="00F342CF" w:rsidRDefault="00CD5BB0" w:rsidP="000C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page" w:tblpX="418" w:tblpY="226"/>
              <w:tblW w:w="9571" w:type="dxa"/>
              <w:tblLook w:val="04A0" w:firstRow="1" w:lastRow="0" w:firstColumn="1" w:lastColumn="0" w:noHBand="0" w:noVBand="1"/>
            </w:tblPr>
            <w:tblGrid>
              <w:gridCol w:w="9571"/>
            </w:tblGrid>
            <w:tr w:rsidR="00CD5BB0" w:rsidRPr="00F342CF" w:rsidTr="000C6DD3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BB0" w:rsidRPr="00F342CF" w:rsidRDefault="00CD5BB0" w:rsidP="000E76B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bookmarkStart w:id="0" w:name="_GoBack"/>
                  <w:bookmarkEnd w:id="0"/>
                </w:p>
                <w:p w:rsidR="00CD5BB0" w:rsidRPr="00F342CF" w:rsidRDefault="00CD5BB0" w:rsidP="000C6DD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D5BB0" w:rsidRPr="00F342CF" w:rsidRDefault="00CD5BB0" w:rsidP="000C6D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D3866" w:rsidRDefault="007D3866" w:rsidP="007D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«Технология» для 5 класса (девочки) разработана </w:t>
      </w:r>
      <w:r>
        <w:rPr>
          <w:rFonts w:ascii="Times New Roman" w:hAnsi="Times New Roman" w:cs="Times New Roman"/>
          <w:sz w:val="24"/>
          <w:szCs w:val="24"/>
          <w:u w:val="single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866" w:rsidRDefault="007D3866" w:rsidP="007D3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7D3866" w:rsidRDefault="007D3866" w:rsidP="007D3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рабочей программой основного общего образования «Технология» (для 5–9 классов образовательных организаций), одобрена решением федерального учебно-методического объединения по общему образованию, протокол 05/22 от 25.08.2022г., Москва, 2022</w:t>
      </w:r>
    </w:p>
    <w:p w:rsidR="007D3866" w:rsidRDefault="007D3866" w:rsidP="007D3866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>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7D3866" w:rsidRDefault="007D3866" w:rsidP="007D3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-локального акта школы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7D3866" w:rsidRDefault="007D3866" w:rsidP="007D3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годовым  календарным учебным графиком  на 2020/2021 учебный год</w:t>
      </w:r>
      <w:r>
        <w:rPr>
          <w:rFonts w:ascii="Times New Roman" w:hAnsi="Times New Roman" w:cs="Times New Roman"/>
        </w:rPr>
        <w:t>.</w:t>
      </w:r>
    </w:p>
    <w:p w:rsidR="007D3866" w:rsidRDefault="007D3866" w:rsidP="007D3866">
      <w:pPr>
        <w:shd w:val="clear" w:color="auto" w:fill="FFFFFF"/>
        <w:spacing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7D3866" w:rsidRDefault="007D3866" w:rsidP="007D3866">
      <w:pPr>
        <w:shd w:val="clear" w:color="auto" w:fill="FFFFFF"/>
        <w:spacing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</w:rPr>
        <w:t>НАУЧНЫЙ, ОБШЕКУЛЬТУРНЫЙ И ОБРАЗОВАТЕЛЬНЫЙ КОНТЕНТ ТЕХНОЛОГИИ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Стержнем названной концепции является технология как логическое развитие «метода» в следующих аспектах: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 ХХ веке сущность технологии была осмыслена в различных плоскостях: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lastRenderedPageBreak/>
        <w:t>были выделены структуры, родственные понятию технологии, прежде всего, понятие алгоритма;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проанализирован феномен зарождающегося технологического общества;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исследованы социальные аспекты технологии.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7D3866" w:rsidRDefault="007D3866" w:rsidP="007D386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</w:rPr>
        <w:t>ЦЕЛИ И ЗАДАЧИ ИЗУЧЕНИЯ ПРЕДМЕТНОЙ ОБЛАСТИ «ТЕХНОЛОГИЯ» В ОСНОВНОМ ОБЩЕМ ОБРАЗОВАНИИ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Основной </w:t>
      </w: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целью </w:t>
      </w: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Задачами </w:t>
      </w: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курса технологии являются: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</w:t>
      </w: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lastRenderedPageBreak/>
        <w:t>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понятийное знание, которое складывается из набора понятий, характеризующих данную предметную область;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методологическое знание — знание общих закономерностей изучаемых явлений и процессов.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технологизация</w:t>
      </w:r>
      <w:proofErr w:type="spellEnd"/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уровень представления;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уровень пользователя;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когнитивно-продуктивный уровень (создание технологий);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7D3866" w:rsidRDefault="007D3866" w:rsidP="007D386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«ТЕХНОЛОГИЯ»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Современный курс технологии построен по модульному принципу.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i/>
          <w:iCs/>
          <w:sz w:val="25"/>
          <w:szCs w:val="25"/>
        </w:rPr>
        <w:t>Модуль «Производство и технология»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>
        <w:rPr>
          <w:rFonts w:ascii="LiberationSerif" w:eastAsia="Times New Roman" w:hAnsi="LiberationSerif" w:cs="Times New Roman"/>
          <w:sz w:val="25"/>
          <w:szCs w:val="25"/>
        </w:rPr>
        <w:softHyphen/>
        <w:t xml:space="preserve">ляется на протяжении всего курса «Технология» с 5 по </w:t>
      </w:r>
      <w:r>
        <w:rPr>
          <w:rFonts w:ascii="LiberationSerif" w:eastAsia="Times New Roman" w:hAnsi="LiberationSerif" w:cs="Times New Roman"/>
          <w:sz w:val="25"/>
          <w:szCs w:val="25"/>
        </w:rPr>
        <w:lastRenderedPageBreak/>
        <w:t>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i/>
          <w:iCs/>
          <w:sz w:val="25"/>
          <w:szCs w:val="25"/>
        </w:rPr>
        <w:t>Модуль «</w:t>
      </w:r>
      <w:r>
        <w:rPr>
          <w:rFonts w:ascii="LiberationSerif" w:eastAsia="Times New Roman" w:hAnsi="LiberationSerif" w:cs="Times New Roman"/>
          <w:b/>
          <w:bCs/>
          <w:sz w:val="25"/>
          <w:szCs w:val="25"/>
        </w:rPr>
        <w:t xml:space="preserve">«Технология обработки текстильных материалов» 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«Технология кулинарной обработки пищевых продуктов»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данных модулей: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sz w:val="25"/>
          <w:szCs w:val="25"/>
        </w:rPr>
        <w:t xml:space="preserve">Модуль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«Исследовательская и созидательная деятельность»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 xml:space="preserve"> В данном модуле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 xml:space="preserve">Модуль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«Художественные ремёсла»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Данный модуль знакомит с композицией в искусстве, с возможностями графических редакторов ПК в создании эскизов, орнаментов, элементов композиции, в изучении различных цветовых сочетаний. Изготовление проектного изделия в технике лоскутного шитья. </w:t>
      </w:r>
    </w:p>
    <w:p w:rsidR="007D3866" w:rsidRDefault="007D3866" w:rsidP="007D386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МЕСТО УЧЕБНОГО ПРЕДМЕТА «ТЕХНОЛОГИЯ» В УЧЕБНОМ ПЛАНЕ</w:t>
      </w:r>
    </w:p>
    <w:p w:rsidR="007D3866" w:rsidRDefault="007D3866" w:rsidP="007D3866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Учебный предмет "Технология" изучается в 5 классе два часа в неделе, общий объем составляет 68 часов.</w:t>
      </w:r>
    </w:p>
    <w:p w:rsidR="007D3866" w:rsidRDefault="007D3866" w:rsidP="007D3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3866" w:rsidRDefault="007D3866" w:rsidP="007D3866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</w:p>
    <w:p w:rsidR="007D3866" w:rsidRDefault="007D3866" w:rsidP="007D3866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7D3866" w:rsidRDefault="007D3866" w:rsidP="007D38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</w:rPr>
        <w:t>ЛИЧНОСТНЫЕ РЕЗУЛЬТАТЫ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Патриотическое воспитание: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проявление интереса к истории и современному состоянию российской науки и технологии;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ценностное отношение к достижениям российских инженеров и учёных.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Гражданское и духовно-нравственное воспитание: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осознание важности морально-этических принципов в деятельности, связанной с реализацией технологий;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Эстетическое воспитание: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восприятие эстетических качеств предметов труда;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умение создавать эстетически значимые изделия из различных материалов.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Ценности научного познания и практической деятельности: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осознание ценности науки как фундамента технологий;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развитие интереса к исследовательской деятельности, реализации на практике достижений науки.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Формирование культуры здоровья и эмоционального благополучия: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умение распознавать информационные угрозы и осуществлять защиту личности от этих угроз.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Трудовое воспитание: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активное участие в решении возникающих практических задач из различных областей;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умение ориентироваться в мире современных профессий.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Экологическое воспитание: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осознание пределов преобразовательной деятельности человека.</w:t>
      </w:r>
    </w:p>
    <w:p w:rsidR="007D3866" w:rsidRDefault="007D3866" w:rsidP="007D38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</w:rPr>
        <w:t>МЕТАПРЕДМЕТНЫЕ РЕЗУЛЬТАТЫ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Овладение универсальными познавательными действиями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Базовые логические действия: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выявлять и характеризовать существенные признаки природных и рукотворных объектов;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устанавливать существенный признак классификации, основание для обобщения и сравнения;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lastRenderedPageBreak/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Базовые исследовательские действия: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использовать вопросы как исследовательский инструмент познания;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формировать запросы к информационной системе с целью получения необходимой информации;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оценивать полноту, достоверность и актуальность полученной информации;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опытным путём изучать свойства различных материалов;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строить и оценивать модели объектов, явлений и процессов;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уметь оценивать правильность выполнения учебной задачи, собственные возможности её решения;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прогнозировать поведение технической системы, в том числе с учётом синергетических эффектов.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Работа с информацией: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выбирать форму представления информации в зависимости от поставленной задачи;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понимать различие между данными, информацией и знаниями;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владеть начальными навыками работы с «большими данными»;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владеть технологией трансформации данных в информацию, информации в знания.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Овладение универсальными учебными регулятивными действиями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Самоорганизация: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делать выбор и брать ответственность за решение.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Самоконтроль (рефлексия):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давать адекватную оценку ситуации и предлагать план её изменения;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объяснять причины достижения (недостижения) результатов преобразовательной деятельности;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вносить необходимые коррективы в деятельность по решению задачи или по осуществлению проекта;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Принятие себя и других: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Овладение универсальными коммуникативными действиями.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Общение: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 ходе обсуждения учебного материала, планирования и осуществления учебного проекта;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 рамках публичного представления результатов проектной деятельности;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 ходе совместного решения задачи с использованием облачных сервисов;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lastRenderedPageBreak/>
        <w:t>в ходе общения с представителями других культур, в частности в социальных сетях.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5"/>
          <w:szCs w:val="25"/>
        </w:rPr>
        <w:t>Совместная деятельность: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понимать и использовать преимущества командной работы при реализации учебного проекта;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уметь адекватно интерпретировать высказывания собеседника — участника совместной деятельности;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владеть навыками отстаивания своей точки зрения, используя при этом законы логики;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уметь распознавать некорректную аргументацию.</w:t>
      </w:r>
    </w:p>
    <w:p w:rsidR="007D3866" w:rsidRDefault="007D3866" w:rsidP="007D38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</w:rPr>
        <w:t>ПРЕДМЕТНЫЕ РЕЗУЛЬТАТЫ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sz w:val="25"/>
          <w:szCs w:val="25"/>
        </w:rPr>
        <w:t>ИНВАРИАНТНЫЕ МОДУЛИ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sz w:val="25"/>
          <w:szCs w:val="25"/>
        </w:rPr>
        <w:t>Модуль «Производство и технология»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характеризовать роль техники и технологий для прогрессивного развития общества;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характеризовать роль техники и технологий в цифровом социуме;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выявлять причины и последствия развития техники и технологий;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характеризовать виды современных технологий и определять перспективы их развития;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научиться конструировать, оценивать и использовать модели в познавательной и практической деятельности;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организовывать рабочее место в соответствии с требованиями безопасности;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соблюдать правила безопасности;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использовать различные материалы (текстиль, сельскохозяйственная продукция);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проектировать интерьер помещения с использованием программных сервисов;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получить возможность научиться коллективно решать задачи с использованием облачных сервисов.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sz w:val="25"/>
          <w:szCs w:val="25"/>
        </w:rPr>
        <w:t>Модуль «Технология обработки текстильных материалов»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характеризовать познавательную и преобразовательную деятельность человека;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соблюдать правила безопасности;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организовывать рабочее место в соответствии с требованиями безопасности;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классифицировать и характеризовать инструменты, приспособления и технологическое оборудование;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использовать инструменты, приспособления и технологическое оборудование;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характеризовать технологические операции ручной обработки конструкционных материалов;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 xml:space="preserve">применять ручные технологии обработки конструкционных материалов; 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составлять последовательность выполнения технологических операций для изготовления швейных изделий;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lastRenderedPageBreak/>
        <w:t>строить чертежи простых швейных изделий;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выбирать материалы, инструменты и оборудование для выполнения швейных работ;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выполнять художественное оформление швейных изделий;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Модуль «Технология кулинарной обработки пищевых продуктов»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правильно хранить пищевые продукты;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осуществлять механическую и тепловую обработку пищевых продуктов, сохраняя их пищевую ценность;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выбирать продукты, инструменты и оборудование для приготовления блюда;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sz w:val="25"/>
          <w:szCs w:val="25"/>
        </w:rPr>
        <w:t>осуществлять доступными средствами контроль качества блюда.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sz w:val="25"/>
          <w:szCs w:val="25"/>
        </w:rPr>
        <w:t xml:space="preserve">Модуль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«Исследовательская и созидательная деятельность»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иметь представление о творческой проектной деятельности, индивидуальных и коллективных творческих проектах;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распределить этапы выполнения проекта: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нескольких вариантов изделия и выбор наилучшего.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Заключительный (аналитический) этап: окончательный контроль готового изделия. Испытание изделия.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того, что получилось, а что нет. Защита проекта.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sz w:val="25"/>
          <w:szCs w:val="25"/>
        </w:rPr>
        <w:t>ВАРИАТИВНЫЙ МОДУЛЬ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 xml:space="preserve">Модуль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«Художественные ремёсла»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познакомится с видами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«декоративно-прикладного искусство».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творчеством народных умельцев своего края, области, села.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и владение приёмами украшения праздничной одежды в старину: отделка изделий вышивкой, тесьмой; изготовление сувениров к праздникам.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правил, приёмов и средств композиции: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символикой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Зарисовка природных мотивов с натуры, их стилизация.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Аппликация и стёжка (выстёгивание) в лоскутном шитье. 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Изготовление образцов лоскутных узоров. 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br w:type="page"/>
      </w:r>
    </w:p>
    <w:p w:rsidR="007D3866" w:rsidRDefault="007D3866" w:rsidP="007D3866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СОДЕРЖАНИЕ УЧЕБНОГО ПРЕДМЕТА 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ИНВАРИАНТНЫЕ МОДУЛИ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Вводное занятие (2 ч)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iCs/>
          <w:sz w:val="24"/>
          <w:szCs w:val="24"/>
        </w:rPr>
        <w:t>Санитарно-гигиенические требования и правила внутреннего распорядка при работе в школьной мастерской.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color w:val="000000"/>
          <w:sz w:val="25"/>
          <w:szCs w:val="25"/>
        </w:rPr>
        <w:t>Инструктаж по правилам безопасной работы в школьной мастерской.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Модуль «Производство и технология» (8ч)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Тема 1. «Потребности человека» (2 ч)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iCs/>
          <w:sz w:val="24"/>
          <w:szCs w:val="24"/>
        </w:rPr>
        <w:t>Понятие потребность, общественная потребность, иерархия потребностей: физиологические потребности, потребности в безопасности, социальные потребности, статусные потребности и духовные потребности человека. Какие потребности относятся к наиболее важным. Что влечет за собой развитие потребностей?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Cs/>
          <w:color w:val="000000"/>
          <w:sz w:val="25"/>
          <w:szCs w:val="25"/>
        </w:rPr>
        <w:t>Разработка программы изучения духовных потребностей членов семьи.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Cs/>
          <w:color w:val="000000"/>
          <w:sz w:val="25"/>
          <w:szCs w:val="25"/>
        </w:rPr>
        <w:t>Проанализировать духовные потребности семьи в соответствии с разработанной программой.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Тема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«Понятие технологии» (2 ч)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технология. История развития технологий. Цикл жизни технологии. Виды технологий: материальные технологии (производственные технологии, технологии в сфере быта), нематериальные технологии (информационные технологии, социальные, интеллектуальные, высокие технологии), технологии и мировое хозяйство. Развитие технологий и проблемы антропогенного воздействия на окружающую среду.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Узнайте, выполнив поиск в интернете и других источниках информации, какие предприятия вашего города (региона проживания) работают на основе современных производственных технологий. Почему разработанные технологии очень часто оказывают отрицательное воздействие на окружающую среду.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3. «Технологический процесс» (2 ч)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iCs/>
          <w:sz w:val="24"/>
          <w:szCs w:val="24"/>
        </w:rPr>
        <w:t>Понятие технологический процесс, производственный процесс, технологическая операция и технологическая карта.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Разработка технологической карты простейшего технологического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процесса( пришивание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пуговиц, уборка помещения пылесосом, склеивание разбитой на две части декоративной вазочки, уход за домашними растениями, уход за домашними животными, уборка урожая на дачном участке и т.д.</w:t>
      </w:r>
    </w:p>
    <w:p w:rsidR="007D3866" w:rsidRDefault="007D3866" w:rsidP="007D38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 xml:space="preserve">«Технологии домашнего хозяйства»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Интерьер кухни, столовой (2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плана размещения оборудования на кухне-столовой.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Проектирование кухни с помощью ПК, телефона, планшета.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 xml:space="preserve">Модуль «Технология обработки текстильных материалов»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(22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55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5. «Свойства текстильных материалов</w:t>
      </w:r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направления долевой нити в ткани.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свойств тканей из хлопка и льна.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6. «Конструирование швейных изделий»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кулиской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Изготовление выкроек для образцов ручных и машинных работ.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Снятие мерок и изготовление выкройки проектного изделия.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 «Швейная машина»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Упражнение в шитье на швейной машине, не заправленной нитками.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Заправка швейной машины нитками.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Упражнение в шитье на швейной машине, заправленной нитками.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Исследование работы регулирующих механизмов швейной машины.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Выполнение прямой и зигзагообразной строчек с изменением длины стежка.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Упражнение в выполнении закрепок.</w:t>
      </w:r>
      <w:bookmarkStart w:id="2" w:name="bookmark61"/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8. «Технология изготовления швейных изделий</w:t>
      </w:r>
      <w:bookmarkEnd w:id="2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(10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Обмеловка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переноса линий выкройки на детали кроя: с помощью резца-колёсика, прямыми стежками, с помощью булавок.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операции при машинной обработке изделия: предохранение срезов от осыпания - машинное обмётывание зигзагообразной строчкой и оверлоком;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приутюживание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разутюживание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заутюживание.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Классификация машинных швов: соединительные (стачной шов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вразутюжку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стачной шов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взаутюжку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и краевые (шов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впод-гибку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открытым срезом и шов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открытым обмётанным срезом, шов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закрытым срезом).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кулиски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 мягкий пояс (в фартуке), резинку (в юбке). Профессии закройщик, портной.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влажно-тепловых работ.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Модуль «Технология кулинарной обработки пищевых продуктов» (16 ч)</w:t>
      </w:r>
    </w:p>
    <w:p w:rsidR="007D3866" w:rsidRDefault="007D3866" w:rsidP="007D3866">
      <w:pPr>
        <w:widowControl w:val="0"/>
        <w:spacing w:after="0" w:line="240" w:lineRule="auto"/>
        <w:ind w:right="5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3" w:name="bookmark37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9. Санитария и гигиена на кухне (2 ч)</w:t>
      </w:r>
    </w:p>
    <w:bookmarkEnd w:id="3"/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7D3866" w:rsidRDefault="007D3866" w:rsidP="007D38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bookmark38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10. Физиология питания (2 ч)</w:t>
      </w:r>
    </w:p>
    <w:bookmarkEnd w:id="4"/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bookmark34"/>
      <w:bookmarkStart w:id="6" w:name="bookmark39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11. Бытовые  электроприборы</w:t>
      </w:r>
      <w:bookmarkEnd w:id="5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(2 ч)</w:t>
      </w:r>
    </w:p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 практические и практические работы.</w:t>
      </w:r>
    </w:p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потребности в бытовых электроприборах на кухне. </w:t>
      </w:r>
    </w:p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безопасных приёмов работы с бытовыми электроприборами. </w:t>
      </w:r>
    </w:p>
    <w:p w:rsidR="007D3866" w:rsidRDefault="007D3866" w:rsidP="007D38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правил эксплуатации микроволновой печи и бытового холодильника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12. Бутерброды и горячие напитки (2 ч)</w:t>
      </w:r>
    </w:p>
    <w:bookmarkEnd w:id="6"/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Теоретические сведения. </w:t>
      </w:r>
      <w:r>
        <w:rPr>
          <w:rFonts w:ascii="Times New Roman" w:eastAsia="Calibri" w:hAnsi="Times New Roman" w:cs="Times New Roman"/>
          <w:sz w:val="24"/>
          <w:szCs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Приготовление и оформление бутербродов.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Приготовление горячих напитков (чай, кофе, какао).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Дегустация блюд. Оценка качества.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13. Блюда из круп, бобовых и макаронных изделий (2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Приготовление и оформление блюд из круп, бобовых и макаронных изделий.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Дегустация блюд. Оценка качества.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14. Блюда из овощей и фруктов (2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пускание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бланширование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жарение,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пассерование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Механическая кулинарная обработка овощей и фруктов.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Определение содержания нитратов в овощах.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Дегустация блюд. Оценка качества.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bookmark40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15. Блюда из яиц (2 ч)</w:t>
      </w:r>
    </w:p>
    <w:bookmarkEnd w:id="7"/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Определение свежести яиц.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Приготовление блюд из яиц.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Дегустация блюд. Оценка качества.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bookmark41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16. Приготовление завтрака.</w:t>
      </w:r>
      <w:bookmarkStart w:id="9" w:name="bookmark42"/>
      <w:bookmarkEnd w:id="8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Сервировка стола к завтраку</w:t>
      </w:r>
      <w:bookmarkEnd w:id="9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меню завтрака.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Приготовление завтрака.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Сервировка стола к завтраку.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Складывание салфеток.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Модуль. «Исследовательская и созидательная деятельность»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(10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Тема 17.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«Технологии творческой и опытнической деятельности» (10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«Кулинария».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 и защита творческого проекта.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Варианты творческих проектов: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«Кулинарная книга» «Наряд для завтрака», «Лоскутное изделие для кухни-столовой», «Лоскутная мозаика».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>ВАРИАТИВНЫЙ МОДУЛЬ</w:t>
      </w:r>
    </w:p>
    <w:p w:rsidR="007D3866" w:rsidRDefault="007D3866" w:rsidP="007D38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5"/>
          <w:szCs w:val="25"/>
        </w:rPr>
        <w:t xml:space="preserve">Модуль </w:t>
      </w:r>
      <w:bookmarkStart w:id="10" w:name="bookmark62"/>
      <w:r>
        <w:rPr>
          <w:rFonts w:ascii="Times New Roman" w:eastAsia="Calibri" w:hAnsi="Times New Roman" w:cs="Times New Roman"/>
          <w:b/>
          <w:bCs/>
          <w:sz w:val="24"/>
          <w:szCs w:val="24"/>
        </w:rPr>
        <w:t>«Художественные ремёсла»</w:t>
      </w:r>
      <w:bookmarkEnd w:id="1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bookmark63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18. Декоративно-прикладное искусство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bookmarkEnd w:id="11"/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Теоретические сведения. </w:t>
      </w:r>
      <w:r>
        <w:rPr>
          <w:rFonts w:ascii="Times New Roman" w:eastAsia="Calibri" w:hAnsi="Times New Roman" w:cs="Times New Roman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Зарисовка и фотографирование наиболее интересных образцов рукоделия.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bookmark64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19. Основы композиции и законы восприятия цвета при создании предметов декоративно-прикладного искусства</w:t>
      </w:r>
      <w:bookmarkEnd w:id="12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Зарисовка природных мотивов с натуры, их стилизация.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bookmark65"/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20. Лоскутное шитьё</w:t>
      </w:r>
      <w:bookmarkEnd w:id="13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(6 ч)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Изготовление образцов лоскутных узоров. 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Изготовление проектного изделия в технике лоскутного шитья.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Защита проекта «Мои успехи в освоении технологии 5 класса».</w:t>
      </w:r>
    </w:p>
    <w:p w:rsidR="007D3866" w:rsidRDefault="007D3866" w:rsidP="007D3866">
      <w:r>
        <w:br w:type="page"/>
      </w:r>
    </w:p>
    <w:p w:rsidR="007D3866" w:rsidRDefault="007D3866" w:rsidP="007D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технологии в 5 а классе (девочки)</w:t>
      </w:r>
    </w:p>
    <w:p w:rsidR="007D3866" w:rsidRDefault="007D3866" w:rsidP="007D386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уровень, 68 часов (2 ч в неделю.)</w:t>
      </w:r>
    </w:p>
    <w:p w:rsidR="007D3866" w:rsidRDefault="007D3866" w:rsidP="007D38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a4"/>
        <w:tblW w:w="10455" w:type="dxa"/>
        <w:tblLayout w:type="fixed"/>
        <w:tblLook w:val="04A0" w:firstRow="1" w:lastRow="0" w:firstColumn="1" w:lastColumn="0" w:noHBand="0" w:noVBand="1"/>
      </w:tblPr>
      <w:tblGrid>
        <w:gridCol w:w="535"/>
        <w:gridCol w:w="848"/>
        <w:gridCol w:w="6"/>
        <w:gridCol w:w="5509"/>
        <w:gridCol w:w="11"/>
        <w:gridCol w:w="840"/>
        <w:gridCol w:w="14"/>
        <w:gridCol w:w="840"/>
        <w:gridCol w:w="14"/>
        <w:gridCol w:w="1838"/>
      </w:tblGrid>
      <w:tr w:rsidR="007D3866" w:rsidTr="007D3866">
        <w:trPr>
          <w:trHeight w:val="477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55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3866" w:rsidRDefault="007D3866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7D3866" w:rsidTr="007D3866">
        <w:trPr>
          <w:trHeight w:val="234"/>
        </w:trPr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D3866" w:rsidTr="007D3866">
        <w:trPr>
          <w:trHeight w:val="88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Санитарно-гигиенические требования и правила внутреннего распорядка при работе в школьной мастерской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476"/>
        </w:trPr>
        <w:tc>
          <w:tcPr>
            <w:tcW w:w="10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«Производство и технология»  (8 ч)</w:t>
            </w:r>
          </w:p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 w:rsidP="005968D2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LiberationSerif" w:eastAsia="Times New Roman" w:hAnsi="LiberationSerif" w:cs="Times New Roman"/>
                <w:bCs/>
                <w:color w:val="000000"/>
                <w:sz w:val="25"/>
                <w:szCs w:val="25"/>
              </w:rPr>
              <w:t>Потребности человека. Разработка программы изучения духовных потребностей членов семьи.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47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 w:rsidP="005968D2">
            <w:pPr>
              <w:shd w:val="clear" w:color="auto" w:fill="FFFFFF"/>
              <w:ind w:firstLine="2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История развития технологий. Цикл жизни технологии. Виды технологий.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 w:rsidP="005968D2">
            <w:pPr>
              <w:shd w:val="clear" w:color="auto" w:fill="FFFFFF"/>
              <w:ind w:firstLine="22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Технологический процесс.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Разработка технологической карты простейшего технологического процесса.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 w:rsidP="005968D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" w:eastAsia="Times New Roman" w:hAnsi="LiberationSerif" w:cs="Times New Roman"/>
                <w:bCs/>
                <w:color w:val="000000"/>
                <w:sz w:val="25"/>
                <w:szCs w:val="25"/>
              </w:rPr>
              <w:t xml:space="preserve">Технологии домашнего хозяйства: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Интерьер кухни, столовой.</w:t>
            </w:r>
          </w:p>
          <w:p w:rsidR="007D3866" w:rsidRDefault="007D3866" w:rsidP="005968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 «Разработка плана размещения оборудования на кухне-столовой»</w:t>
            </w:r>
          </w:p>
          <w:p w:rsidR="007D3866" w:rsidRDefault="007D3866" w:rsidP="005968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Проектирование кухни с помощью ПК, телефона, планшета.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294"/>
        </w:trPr>
        <w:tc>
          <w:tcPr>
            <w:tcW w:w="10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«Технология обработки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текстильных материалов» (32ч)</w:t>
            </w: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текстильных волокон. Волокна растительного происхождения.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1 «Определение направления долевой нити в ткани»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материалы и их свойства.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2 «Изучение свойств ткани из хлопка и льна»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«Изготовление выкроек для образцов ручных и машинных работ</w:t>
            </w:r>
            <w:r>
              <w:rPr>
                <w:rFonts w:ascii="Times New Roman" w:eastAsia="Calibri" w:hAnsi="Times New Roman" w:cs="Times New Roman"/>
                <w:iCs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ручные работы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 «Изготовление образцов ручных работ»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ручные работы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 «Изготовление образцов ручных работ»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машина.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 работа № 3 «Исследование работы регулирующих механизмов швейной машины»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28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Влажно-тепловая обработка ткани.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4 «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Проведение влажно-тепловых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обработка нижней части фартука.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5 «Обработка нижней части фартука швом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обработка нижней части фартука.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5 «Обработка нижней части фартука швом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карманов.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«Технология  изготовления и соединения карманов с нижней частью фартука»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 «Соединение карманов с нижней частью фартука и оформление карманов»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 «Соединение карманов с нижней частью фартука и оформление карманов»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фартука. 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  «Соединение нагрудника с нижней частью фартука»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70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фартука.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8 «Соединение нагрудника с нижней частью фартука»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52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фартука (продолжение).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9 «Обработка пояса»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46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проектного материала.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«Наряд для завтрака»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c>
          <w:tcPr>
            <w:tcW w:w="10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Модуль «Технология кулинарной обработки пищевых продуктов» (16 ч)</w:t>
            </w:r>
          </w:p>
        </w:tc>
      </w:tr>
      <w:tr w:rsidR="007D3866" w:rsidTr="007D3866">
        <w:trPr>
          <w:trHeight w:val="30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28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Физиология питания.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28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Бытовые  электроприборы.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10 «Изучение безопасных приемов работы с бытовыми электроприборами на кухне»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rPr>
          <w:trHeight w:val="268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Бутерброды и горячие напитки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11 «Приготовление и оформление бутербродов. Приготовление горячих напитков»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Блюда из круп, бобовых и макаронных изделий</w:t>
            </w:r>
          </w:p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12 «Приготовление и оформление блюда из круп, макаронных изделий»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3866" w:rsidTr="007D3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Блюда из овощей и фруктов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13 «Приготовление и оформление блюда из вареных овощей»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Блюда из яиц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14 «Приготовление и оформление блюда из яиц»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завтрака. Сервировка стола к завтраку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15 «Разработка меню завтрака. Сервировка стола. Складывание салфеток»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c>
          <w:tcPr>
            <w:tcW w:w="10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«Художественные ремёсла» (10 ч)</w:t>
            </w:r>
          </w:p>
        </w:tc>
      </w:tr>
      <w:tr w:rsidR="007D3866" w:rsidTr="007D3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rPr>
          <w:trHeight w:val="36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16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rPr>
          <w:trHeight w:val="35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изготовления лоскутного изделия.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17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шаблонов из картона. Изготовление образцов лоскутных узоров»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rPr>
          <w:trHeight w:val="368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изделия. Декоративная и окончательная отделка изделия»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18</w:t>
            </w:r>
          </w:p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«Окончательная отделка изделия 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rPr>
          <w:trHeight w:val="217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проектного материала.</w:t>
            </w:r>
          </w:p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«Мои успехи в освоении технологии 5 класс»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866" w:rsidTr="007D3866">
        <w:trPr>
          <w:trHeight w:val="309"/>
        </w:trPr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Итого:68 часов.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866" w:rsidRDefault="007D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3866" w:rsidRDefault="007D3866" w:rsidP="007D3866">
      <w:pPr>
        <w:rPr>
          <w:rFonts w:ascii="Times New Roman" w:eastAsia="Calibri" w:hAnsi="Times New Roman" w:cs="Times New Roman"/>
        </w:rPr>
      </w:pPr>
    </w:p>
    <w:p w:rsidR="007D3866" w:rsidRDefault="007D3866" w:rsidP="007D3866">
      <w:pPr>
        <w:rPr>
          <w:rFonts w:ascii="Times New Roman" w:eastAsia="Calibri" w:hAnsi="Times New Roman" w:cs="Times New Roman"/>
        </w:rPr>
      </w:pPr>
    </w:p>
    <w:p w:rsidR="007D3866" w:rsidRDefault="007D3866" w:rsidP="007D3866">
      <w:pPr>
        <w:rPr>
          <w:rFonts w:ascii="Times New Roman" w:eastAsia="Calibri" w:hAnsi="Times New Roman" w:cs="Times New Roman"/>
        </w:rPr>
      </w:pPr>
    </w:p>
    <w:p w:rsidR="007D3866" w:rsidRDefault="007D3866" w:rsidP="007D3866">
      <w:pPr>
        <w:rPr>
          <w:rFonts w:ascii="Times New Roman" w:eastAsia="Calibri" w:hAnsi="Times New Roman" w:cs="Times New Roman"/>
        </w:rPr>
      </w:pPr>
    </w:p>
    <w:p w:rsidR="007D3866" w:rsidRDefault="007D3866" w:rsidP="007D3866">
      <w:pPr>
        <w:rPr>
          <w:rFonts w:ascii="Times New Roman" w:hAnsi="Times New Roman" w:cs="Times New Roman"/>
        </w:rPr>
      </w:pPr>
    </w:p>
    <w:p w:rsidR="007D3866" w:rsidRDefault="007D3866" w:rsidP="007D3866"/>
    <w:p w:rsidR="008019BE" w:rsidRPr="007D3866" w:rsidRDefault="008019BE" w:rsidP="007D3866"/>
    <w:sectPr w:rsidR="008019BE" w:rsidRPr="007D3866" w:rsidSect="006173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F397A"/>
    <w:multiLevelType w:val="hybridMultilevel"/>
    <w:tmpl w:val="652C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E6D9C"/>
    <w:multiLevelType w:val="hybridMultilevel"/>
    <w:tmpl w:val="E350FF20"/>
    <w:lvl w:ilvl="0" w:tplc="5E685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6C9E"/>
    <w:multiLevelType w:val="hybridMultilevel"/>
    <w:tmpl w:val="92228D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7B07199"/>
    <w:multiLevelType w:val="hybridMultilevel"/>
    <w:tmpl w:val="4D284D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1F2F"/>
    <w:multiLevelType w:val="hybridMultilevel"/>
    <w:tmpl w:val="E08C1B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919E9"/>
    <w:multiLevelType w:val="hybridMultilevel"/>
    <w:tmpl w:val="DC84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B7282"/>
    <w:multiLevelType w:val="hybridMultilevel"/>
    <w:tmpl w:val="BD06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4BE9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F3458"/>
    <w:multiLevelType w:val="hybridMultilevel"/>
    <w:tmpl w:val="A898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8" w15:restartNumberingAfterBreak="0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41EBB"/>
    <w:multiLevelType w:val="hybridMultilevel"/>
    <w:tmpl w:val="7CF2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45CC2"/>
    <w:multiLevelType w:val="hybridMultilevel"/>
    <w:tmpl w:val="A9546B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8"/>
  </w:num>
  <w:num w:numId="5">
    <w:abstractNumId w:val="35"/>
  </w:num>
  <w:num w:numId="6">
    <w:abstractNumId w:val="27"/>
  </w:num>
  <w:num w:numId="7">
    <w:abstractNumId w:val="12"/>
  </w:num>
  <w:num w:numId="8">
    <w:abstractNumId w:val="1"/>
  </w:num>
  <w:num w:numId="9">
    <w:abstractNumId w:val="40"/>
  </w:num>
  <w:num w:numId="10">
    <w:abstractNumId w:val="17"/>
  </w:num>
  <w:num w:numId="11">
    <w:abstractNumId w:val="22"/>
  </w:num>
  <w:num w:numId="12">
    <w:abstractNumId w:val="39"/>
  </w:num>
  <w:num w:numId="13">
    <w:abstractNumId w:val="24"/>
  </w:num>
  <w:num w:numId="14">
    <w:abstractNumId w:val="7"/>
  </w:num>
  <w:num w:numId="15">
    <w:abstractNumId w:val="25"/>
  </w:num>
  <w:num w:numId="16">
    <w:abstractNumId w:val="2"/>
  </w:num>
  <w:num w:numId="17">
    <w:abstractNumId w:val="32"/>
  </w:num>
  <w:num w:numId="18">
    <w:abstractNumId w:val="30"/>
  </w:num>
  <w:num w:numId="19">
    <w:abstractNumId w:val="6"/>
  </w:num>
  <w:num w:numId="20">
    <w:abstractNumId w:val="37"/>
  </w:num>
  <w:num w:numId="21">
    <w:abstractNumId w:val="34"/>
  </w:num>
  <w:num w:numId="22">
    <w:abstractNumId w:val="31"/>
  </w:num>
  <w:num w:numId="23">
    <w:abstractNumId w:val="16"/>
  </w:num>
  <w:num w:numId="24">
    <w:abstractNumId w:val="14"/>
  </w:num>
  <w:num w:numId="25">
    <w:abstractNumId w:val="20"/>
  </w:num>
  <w:num w:numId="26">
    <w:abstractNumId w:val="3"/>
  </w:num>
  <w:num w:numId="27">
    <w:abstractNumId w:val="2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9"/>
  </w:num>
  <w:num w:numId="37">
    <w:abstractNumId w:val="10"/>
  </w:num>
  <w:num w:numId="38">
    <w:abstractNumId w:val="38"/>
  </w:num>
  <w:num w:numId="39">
    <w:abstractNumId w:val="9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61"/>
    <w:rsid w:val="00033A55"/>
    <w:rsid w:val="000959CA"/>
    <w:rsid w:val="0009636B"/>
    <w:rsid w:val="000C7CF0"/>
    <w:rsid w:val="000E76B6"/>
    <w:rsid w:val="00105133"/>
    <w:rsid w:val="00152C00"/>
    <w:rsid w:val="001555E8"/>
    <w:rsid w:val="00174EAC"/>
    <w:rsid w:val="0018415B"/>
    <w:rsid w:val="00195DB8"/>
    <w:rsid w:val="001D0D82"/>
    <w:rsid w:val="001D4F6A"/>
    <w:rsid w:val="002B1B6E"/>
    <w:rsid w:val="002E6351"/>
    <w:rsid w:val="00367125"/>
    <w:rsid w:val="00382041"/>
    <w:rsid w:val="003919F2"/>
    <w:rsid w:val="003D079A"/>
    <w:rsid w:val="003D21CB"/>
    <w:rsid w:val="003D5488"/>
    <w:rsid w:val="003D574C"/>
    <w:rsid w:val="003F62EF"/>
    <w:rsid w:val="00417718"/>
    <w:rsid w:val="004276C2"/>
    <w:rsid w:val="00460D89"/>
    <w:rsid w:val="004A0815"/>
    <w:rsid w:val="004F3D83"/>
    <w:rsid w:val="00524FAA"/>
    <w:rsid w:val="00536607"/>
    <w:rsid w:val="00536E35"/>
    <w:rsid w:val="005450E6"/>
    <w:rsid w:val="00545ABC"/>
    <w:rsid w:val="00572C5B"/>
    <w:rsid w:val="0059616F"/>
    <w:rsid w:val="005968D2"/>
    <w:rsid w:val="005B1261"/>
    <w:rsid w:val="005C4160"/>
    <w:rsid w:val="005F190E"/>
    <w:rsid w:val="00603F64"/>
    <w:rsid w:val="006053F0"/>
    <w:rsid w:val="00612CF2"/>
    <w:rsid w:val="006165D1"/>
    <w:rsid w:val="006173F8"/>
    <w:rsid w:val="00665BF4"/>
    <w:rsid w:val="006A1A31"/>
    <w:rsid w:val="006B6F2B"/>
    <w:rsid w:val="006C77C4"/>
    <w:rsid w:val="006D47E1"/>
    <w:rsid w:val="007232E5"/>
    <w:rsid w:val="0073664F"/>
    <w:rsid w:val="00743589"/>
    <w:rsid w:val="007455F2"/>
    <w:rsid w:val="00754707"/>
    <w:rsid w:val="00784B57"/>
    <w:rsid w:val="00787362"/>
    <w:rsid w:val="007D3866"/>
    <w:rsid w:val="007D4D60"/>
    <w:rsid w:val="007E202D"/>
    <w:rsid w:val="007E3845"/>
    <w:rsid w:val="007F7657"/>
    <w:rsid w:val="008019BE"/>
    <w:rsid w:val="00852313"/>
    <w:rsid w:val="00867B19"/>
    <w:rsid w:val="00867D81"/>
    <w:rsid w:val="008746FE"/>
    <w:rsid w:val="008E614A"/>
    <w:rsid w:val="00916458"/>
    <w:rsid w:val="00931060"/>
    <w:rsid w:val="00954B93"/>
    <w:rsid w:val="009568A7"/>
    <w:rsid w:val="009609C3"/>
    <w:rsid w:val="009755B7"/>
    <w:rsid w:val="009818F6"/>
    <w:rsid w:val="00997F2F"/>
    <w:rsid w:val="009A79A0"/>
    <w:rsid w:val="00A07CE7"/>
    <w:rsid w:val="00A2026E"/>
    <w:rsid w:val="00A33603"/>
    <w:rsid w:val="00A53F33"/>
    <w:rsid w:val="00A54611"/>
    <w:rsid w:val="00AD1841"/>
    <w:rsid w:val="00AF5F44"/>
    <w:rsid w:val="00B47750"/>
    <w:rsid w:val="00B71FC6"/>
    <w:rsid w:val="00B74A14"/>
    <w:rsid w:val="00BF6CA4"/>
    <w:rsid w:val="00C01162"/>
    <w:rsid w:val="00C209EA"/>
    <w:rsid w:val="00C32228"/>
    <w:rsid w:val="00C5045E"/>
    <w:rsid w:val="00C55586"/>
    <w:rsid w:val="00C73684"/>
    <w:rsid w:val="00CD5BB0"/>
    <w:rsid w:val="00D05193"/>
    <w:rsid w:val="00D117DE"/>
    <w:rsid w:val="00D228AD"/>
    <w:rsid w:val="00D4332C"/>
    <w:rsid w:val="00D74D04"/>
    <w:rsid w:val="00D96B9F"/>
    <w:rsid w:val="00DB6132"/>
    <w:rsid w:val="00DB6BB7"/>
    <w:rsid w:val="00DC6D71"/>
    <w:rsid w:val="00DD6EA5"/>
    <w:rsid w:val="00E7466B"/>
    <w:rsid w:val="00E75FF1"/>
    <w:rsid w:val="00EC0EBC"/>
    <w:rsid w:val="00ED0380"/>
    <w:rsid w:val="00EE2A3F"/>
    <w:rsid w:val="00F07AD5"/>
    <w:rsid w:val="00F405B8"/>
    <w:rsid w:val="00F40639"/>
    <w:rsid w:val="00F43E2B"/>
    <w:rsid w:val="00F61035"/>
    <w:rsid w:val="00FC2E2E"/>
    <w:rsid w:val="00FD566B"/>
    <w:rsid w:val="00FE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0A73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09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59CA"/>
  </w:style>
  <w:style w:type="paragraph" w:styleId="a3">
    <w:name w:val="List Paragraph"/>
    <w:basedOn w:val="a"/>
    <w:uiPriority w:val="34"/>
    <w:qFormat/>
    <w:rsid w:val="000959CA"/>
    <w:pPr>
      <w:ind w:left="720"/>
      <w:contextualSpacing/>
    </w:pPr>
    <w:rPr>
      <w:rFonts w:eastAsiaTheme="minorHAnsi"/>
      <w:lang w:eastAsia="en-US"/>
    </w:rPr>
  </w:style>
  <w:style w:type="paragraph" w:customStyle="1" w:styleId="c22">
    <w:name w:val="c22"/>
    <w:basedOn w:val="a"/>
    <w:rsid w:val="0095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6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F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4103-5212-4D9B-AB72-4D7315F9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17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68</cp:revision>
  <dcterms:created xsi:type="dcterms:W3CDTF">2014-11-13T03:40:00Z</dcterms:created>
  <dcterms:modified xsi:type="dcterms:W3CDTF">2022-11-03T05:15:00Z</dcterms:modified>
</cp:coreProperties>
</file>